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samuel-21"/>
    <w:p>
      <w:pPr>
        <w:pStyle w:val="Heading1"/>
      </w:pPr>
      <w:r>
        <w:t xml:space="preserve">Homiletics Analysis: 2 Samuel 21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Samuel 21 divides into two episodes: a narrative account of atonement for Saul’s bloodguilt against the Gibeonites (vv. 1–14) and an appendix of Philistine war accounts featuring David’s warriors (vv. 15–22). The first and larger episode is theologically dense: a three-year famine prompts David to seek the LORD, who reveals that the famine is divine judgment for Saul’s massacre of the Gibeonites — a violation of Israel’s ancient covenant oath sworn by Joshua (cf. Joshua 9). The Gibeonites demand and receive seven of Saul’s male descendants to be executed, and David honors this demand while protecting Mephibosheth for Jonathan’s sake. Rizpah’s haunting vigil over the bodies prompts David to gather the bones of Saul and Jonathan from Jabesh-gilead, give them proper burial in Kish’s tomb, and only then does God answer prayer for the land. The second episode catalogues four battles against Philistine giants, including a near-death moment for David himself, after which his men prohibit him from going to battle anymore.</w:t>
      </w:r>
    </w:p>
    <w:p>
      <w:pPr>
        <w:pStyle w:val="BodyText"/>
      </w:pPr>
      <w:r>
        <w:rPr>
          <w:b/>
          <w:bCs/>
        </w:rPr>
        <w:t xml:space="preserve">This Text — Intent:</w:t>
      </w:r>
    </w:p>
    <w:p>
      <w:pPr>
        <w:pStyle w:val="BodyText"/>
      </w:pPr>
      <w:r>
        <w:t xml:space="preserve">God is confronting His people — and His king — with the reality that unfulfilled covenant obligations, even those inherited from a predecessor, carry real consequences in the land, and that justice and faithful remembrance are prerequisites for renewed divine favor. The passage also functions as a quiet transition: David the warrior-king is aging, his vulnerability is exposed, and the era of his personal battlefield heroism is giving way to his men. God intends this passage to press the reader toward sober reckoning with the weight of covenant oaths, the seriousness with which He takes bloodguilt, the dignity of the dead and the grief of the living, and the provisional nature of every human king’s strength.</w:t>
      </w:r>
    </w:p>
    <w:p>
      <w:r>
        <w:pict>
          <v:rect style="width:0;height:1.5pt" o:hralign="center" o:hrstd="t" o:hr="t"/>
        </w:pict>
      </w:r>
    </w:p>
    <w:p>
      <w:pPr>
        <w:pStyle w:val="FirstParagraph"/>
      </w:pPr>
      <w:r>
        <w:rPr>
          <w:b/>
          <w:bCs/>
        </w:rPr>
        <w:t xml:space="preserve">Subject Sentence:</w:t>
      </w:r>
      <w:r>
        <w:t xml:space="preserve"> </w:t>
      </w:r>
      <w:r>
        <w:t xml:space="preserve">Covenant bloodguilt demands atonement before the land can rest.</w:t>
      </w:r>
    </w:p>
    <w:p>
      <w:r>
        <w:pict>
          <v:rect style="width:0;height:1.5pt" o:hralign="center" o:hrstd="t" o:hr="t"/>
        </w:pict>
      </w:r>
    </w:p>
    <w:p>
      <w:pPr>
        <w:pStyle w:val="FirstParagraph"/>
      </w:pPr>
      <w:r>
        <w:rPr>
          <w:b/>
          <w:bCs/>
        </w:rPr>
        <w:t xml:space="preserve">Primary Claim:</w:t>
      </w:r>
      <w:r>
        <w:t xml:space="preserve"> </w:t>
      </w:r>
      <w:r>
        <w:t xml:space="preserve">God will not ignore violated covenant oaths — not even those made by a previous generation — and He calls His people to reckon honestly with inherited guilt, make restitution where possible, and entrust the outcome to Him; the land cannot flourish under unaddressed bloodshed.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Morality of the Gibeonite Executions (vv. 6–9):</w:t>
      </w:r>
      <w:r>
        <w:t xml:space="preserve"> </w:t>
      </w:r>
      <w:r>
        <w:t xml:space="preserve">The most persistent interpretive challenge in this chapter is the apparent divine sanction of the execution of seven of Saul’s sons/grandsons for crimes they did not personally commit. Some readers within broadly Wesleyan and Arminian traditions press hard on human moral agency and individual accountability, reading this passage as a concession narrative — God permitting rather than commanding, and the Gibeonites acting in culturally conditioned vengeance that God merely worked around. This reading must be qualified: the text does not suggest David acted against God’s will; the famine ends specifically after the executions and the proper burial of Saul’s family (v. 14), strongly implying divine satisfaction with the resolution. The text does not frame the executions as vengeance but as atonement (</w:t>
      </w:r>
      <w:r>
        <w:rPr>
          <w:i/>
          <w:iCs/>
        </w:rPr>
        <w:t xml:space="preserve">kāpar</w:t>
      </w:r>
      <w:r>
        <w:t xml:space="preserve">, v. 3) — a cultic and covenantal category, not a punitive one.</w:t>
      </w:r>
    </w:p>
    <w:p>
      <w:pPr>
        <w:pStyle w:val="BodyText"/>
      </w:pPr>
      <w:r>
        <w:t xml:space="preserve">A dispensational reader might emphasize the strict separation of Israel’s covenant obligations from any broader moral framework, reading the passage as purely illustrative of Old Covenant civil law without direct application to the church or believer today. This reading rightly notes the covenantal specificity of the passage but errs if it severs the passage from its ongoing theological force: God’s character as one who takes covenant faithfulness seriously is not suspended in the New Covenant. The Reformed reading sees a genuine moral principle at work — the solidarity of a people under covenant — while acknowledging that the specific mechanism of atonement here is typological and not directly transferable.</w:t>
      </w:r>
    </w:p>
    <w:p>
      <w:pPr>
        <w:pStyle w:val="BodyText"/>
      </w:pPr>
      <w:r>
        <w:t xml:space="preserve">The Reformed verdict: God is not endorsing inherited blood vengeance as a general principle. He is demonstrating that covenantal obligations have real weight in the ordering of His people’s life in the land, that bloodguilt is not simply a private matter between individuals, and that the death of the guilty (in this case, those who bore Saul’s name and legacy) was required as the price of covenant honor. The passage anticipates the deeper logic of substitutionary atonement: blood must be answered by blood. That this will find its ultimate resolution in Christ — the one who answers all covenant guilt — is the canonical horizon the Reformed reader holds.</w:t>
      </w:r>
    </w:p>
    <w:p>
      <w:pPr>
        <w:pStyle w:val="BodyText"/>
      </w:pPr>
      <w:r>
        <w:rPr>
          <w:b/>
          <w:bCs/>
        </w:rPr>
        <w:t xml:space="preserve">The Silence of God’s Direct Command:</w:t>
      </w:r>
      <w:r>
        <w:t xml:space="preserve"> </w:t>
      </w:r>
      <w:r>
        <w:t xml:space="preserve">Notably, God does not explicitly command David to hand over Saul’s sons — He identifies the cause of the famine and then David negotiates directly with the Gibeonites. Some Lutheran interpreters, wary of extra-biblical moral reasoning, have found this uncomfortable: is David acting on the basis of general equity reasoning without a direct divine mandate? The text seems deliberately to leave the specific mechanics of resolution to David’s wisdom and the Gibeonites’ demand, while the divine verdict at the end (v. 14,</w:t>
      </w:r>
      <w:r>
        <w:t xml:space="preserve"> </w:t>
      </w:r>
      <w:r>
        <w:t xml:space="preserve">“God answered prayer”</w:t>
      </w:r>
      <w:r>
        <w:t xml:space="preserve">) functions as retrospective ratification. This is not unusual in the Old Testament — wisdom, covenant law, and divine intervention interweave without requiring a direct command at each decision point. The Reformed tradition is well-equipped to hold this: general equity, embedded covenant principles, and sanctified wisdom operating together under God’s providence.</w:t>
      </w:r>
    </w:p>
    <w:p>
      <w:pPr>
        <w:pStyle w:val="BodyText"/>
      </w:pPr>
      <w:r>
        <w:rPr>
          <w:b/>
          <w:bCs/>
        </w:rPr>
        <w:t xml:space="preserve">Rizpah’s Vigil and David’s Response (vv. 10–14):</w:t>
      </w:r>
      <w:r>
        <w:t xml:space="preserve"> </w:t>
      </w:r>
      <w:r>
        <w:t xml:space="preserve">This episode is often overlooked or treated as incidental. Its placement is not incidental. Rizpah’s faithfulness — a concubine of Saul, with no legal standing, guarding the bodies of the hanged through harvest season — shames David into action. David had not yet buried Saul and Jonathan properly (having apparently left their bones in Jabesh-gilead). Rizpah’s grief becomes the occasion for David’s larger act of honoring the dead. The passage makes no explicit moral judgment on David’s prior neglect, but the sequence is unmistakable. Reformed exposition should honor the narrative structure: God sometimes works through the grief of the marginalized to awaken the conscience of the powerful.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Joshua 9:15–20</w:t>
      </w:r>
      <w:r>
        <w:t xml:space="preserve"> </w:t>
      </w:r>
      <w:r>
        <w:t xml:space="preserve">— The original Gibeonite covenant: Israel swore by the LORD not to destroy them; Saul’s massacre was a direct violation of this oath, which is why the bloodguilt required resolution. This passage is the essential backstory without which 2 Samuel 21 is unintelligible.</w:t>
      </w:r>
    </w:p>
    <w:p>
      <w:pPr>
        <w:numPr>
          <w:ilvl w:val="0"/>
          <w:numId w:val="1001"/>
        </w:numPr>
      </w:pPr>
      <w:r>
        <w:rPr>
          <w:b/>
          <w:bCs/>
        </w:rPr>
        <w:t xml:space="preserve">Numbers 35:33</w:t>
      </w:r>
      <w:r>
        <w:t xml:space="preserve"> </w:t>
      </w:r>
      <w:r>
        <w:t xml:space="preserve">—</w:t>
      </w:r>
      <w:r>
        <w:t xml:space="preserve"> </w:t>
      </w:r>
      <w:r>
        <w:t xml:space="preserve">“You shall not pollute the land in which you live, for blood pollutes the land, and no atonement can be made for the land for the blood that is shed in it.”</w:t>
      </w:r>
      <w:r>
        <w:t xml:space="preserve"> </w:t>
      </w:r>
      <w:r>
        <w:t xml:space="preserve">The theological principle governing the entire first episode: bloodguilt defiles the land, and the land cannot rest until atonement is made.</w:t>
      </w:r>
    </w:p>
    <w:p>
      <w:pPr>
        <w:numPr>
          <w:ilvl w:val="0"/>
          <w:numId w:val="1001"/>
        </w:numPr>
      </w:pPr>
      <w:r>
        <w:rPr>
          <w:b/>
          <w:bCs/>
        </w:rPr>
        <w:t xml:space="preserve">Deuteronomy 21:1–9</w:t>
      </w:r>
      <w:r>
        <w:t xml:space="preserve"> </w:t>
      </w:r>
      <w:r>
        <w:t xml:space="preserve">— The law of the unsolved murder and the atonement rite for blood that cries out from the ground; establishes the covenantal mechanism David is operating within, confirming that his actions are covenantally shaped rather than arbitrary.</w:t>
      </w:r>
    </w:p>
    <w:p>
      <w:pPr>
        <w:numPr>
          <w:ilvl w:val="0"/>
          <w:numId w:val="1001"/>
        </w:numPr>
      </w:pPr>
      <w:r>
        <w:rPr>
          <w:b/>
          <w:bCs/>
        </w:rPr>
        <w:t xml:space="preserve">Romans 5:12–19</w:t>
      </w:r>
      <w:r>
        <w:t xml:space="preserve"> </w:t>
      </w:r>
      <w:r>
        <w:t xml:space="preserve">— Paul’s treatment of representative solidarity and inherited guilt; provides the canonical frame for understanding how one person’s (Saul’s) actions bind a community, and how another’s obedience can restore. The logic of the Gibeonite episode — one generation’s guilt requiring another generation’s reckoning — is not foreign to Scripture’s moral architecture.</w:t>
      </w:r>
    </w:p>
    <w:p>
      <w:pPr>
        <w:numPr>
          <w:ilvl w:val="0"/>
          <w:numId w:val="1001"/>
        </w:numPr>
      </w:pPr>
      <w:r>
        <w:rPr>
          <w:b/>
          <w:bCs/>
        </w:rPr>
        <w:t xml:space="preserve">Hebrews 9:22</w:t>
      </w:r>
      <w:r>
        <w:t xml:space="preserve"> </w:t>
      </w:r>
      <w:r>
        <w:t xml:space="preserve">—</w:t>
      </w:r>
      <w:r>
        <w:t xml:space="preserve"> </w:t>
      </w:r>
      <w:r>
        <w:t xml:space="preserve">“Without the shedding of blood there is no forgiveness.”</w:t>
      </w:r>
      <w:r>
        <w:t xml:space="preserve"> </w:t>
      </w:r>
      <w:r>
        <w:t xml:space="preserve">The Gibeonite episode is a dark but genuine anticipation of this principle; the blood required for the land’s healing points toward the one blood that finally and fully satisfies all covenant guilt.</w:t>
      </w:r>
    </w:p>
    <w:p>
      <w:r>
        <w:pict>
          <v:rect style="width:0;height:1.5pt" o:hralign="center" o:hrstd="t" o:hr="t"/>
        </w:pict>
      </w:r>
    </w:p>
    <w:p>
      <w:pPr>
        <w:pStyle w:val="FirstParagraph"/>
      </w:pPr>
      <w:r>
        <w:rPr>
          <w:b/>
          <w:bCs/>
        </w:rPr>
        <w:t xml:space="preserve">Aim:</w:t>
      </w:r>
      <w:r>
        <w:t xml:space="preserve"> </w:t>
      </w:r>
      <w:r>
        <w:t xml:space="preserve">To press the reader to take covenant commitments with the seriousness God does — to reckon honestly with inherited and present obligations, to trust that God’s justice is not indifferent to unfulfilled oaths, and to find in this sobering chapter a pointer toward the One whose blood answers what all human atonement could only approximate.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21:1</w:t>
            </w:r>
          </w:p>
        </w:tc>
        <w:tc>
          <w:tcPr/>
          <w:p>
            <w:pPr>
              <w:pStyle w:val="Compact"/>
            </w:pPr>
            <w:r>
              <w:t xml:space="preserve">Three-year famine; David seeks the LORD; God identifies cause: Saul’s bloodguilt against the Gibeonites</w:t>
            </w:r>
          </w:p>
        </w:tc>
        <w:tc>
          <w:tcPr/>
          <w:p>
            <w:pPr>
              <w:pStyle w:val="Compact"/>
            </w:pPr>
            <w:r>
              <w:t xml:space="preserve">The famine as divine judgment; seeking the LORD as the diagnostic act — the text assumes inquiry as the proper response to affliction</w:t>
            </w:r>
          </w:p>
        </w:tc>
      </w:tr>
      <w:tr>
        <w:tc>
          <w:tcPr/>
          <w:p>
            <w:pPr>
              <w:pStyle w:val="Compact"/>
            </w:pPr>
            <w:r>
              <w:t xml:space="preserve">21:2</w:t>
            </w:r>
          </w:p>
        </w:tc>
        <w:tc>
          <w:tcPr/>
          <w:p>
            <w:pPr>
              <w:pStyle w:val="Compact"/>
            </w:pPr>
            <w:r>
              <w:t xml:space="preserve">Background: the Gibeonites are not Israelites but were protected by oath; Saul sought to destroy them</w:t>
            </w:r>
            <w:r>
              <w:t xml:space="preserve"> </w:t>
            </w:r>
            <w:r>
              <w:t xml:space="preserve">“in his zeal for Israel and Judah”</w:t>
            </w:r>
          </w:p>
        </w:tc>
        <w:tc>
          <w:tcPr/>
          <w:p>
            <w:pPr>
              <w:pStyle w:val="Compact"/>
            </w:pPr>
            <w:r>
              <w:t xml:space="preserve">Saul’s</w:t>
            </w:r>
            <w:r>
              <w:t xml:space="preserve"> </w:t>
            </w:r>
            <w:r>
              <w:t xml:space="preserve">“zeal”</w:t>
            </w:r>
            <w:r>
              <w:t xml:space="preserve"> </w:t>
            </w:r>
            <w:r>
              <w:t xml:space="preserve">is a study in misguided religious nationalism — devotion untethered from covenant obligation</w:t>
            </w:r>
          </w:p>
        </w:tc>
      </w:tr>
      <w:tr>
        <w:tc>
          <w:tcPr/>
          <w:p>
            <w:pPr>
              <w:pStyle w:val="Compact"/>
            </w:pPr>
            <w:r>
              <w:t xml:space="preserve">21:3</w:t>
            </w:r>
          </w:p>
        </w:tc>
        <w:tc>
          <w:tcPr/>
          <w:p>
            <w:pPr>
              <w:pStyle w:val="Compact"/>
            </w:pPr>
            <w:r>
              <w:t xml:space="preserve">David asks the Gibeonites what atonement (</w:t>
            </w:r>
            <w:r>
              <w:rPr>
                <w:i/>
                <w:iCs/>
              </w:rPr>
              <w:t xml:space="preserve">kāpar</w:t>
            </w:r>
            <w:r>
              <w:t xml:space="preserve">) can be made</w:t>
            </w:r>
          </w:p>
        </w:tc>
        <w:tc>
          <w:tcPr/>
          <w:p>
            <w:pPr>
              <w:pStyle w:val="Compact"/>
            </w:pPr>
            <w:r>
              <w:t xml:space="preserve">The word</w:t>
            </w:r>
            <w:r>
              <w:t xml:space="preserve"> </w:t>
            </w:r>
            <w:r>
              <w:rPr>
                <w:i/>
                <w:iCs/>
              </w:rPr>
              <w:t xml:space="preserve">kāpar</w:t>
            </w:r>
            <w:r>
              <w:t xml:space="preserve"> </w:t>
            </w:r>
            <w:r>
              <w:t xml:space="preserve">frames this as covenantal restitution, not revenge</w:t>
            </w:r>
          </w:p>
        </w:tc>
      </w:tr>
      <w:tr>
        <w:tc>
          <w:tcPr/>
          <w:p>
            <w:pPr>
              <w:pStyle w:val="Compact"/>
            </w:pPr>
            <w:r>
              <w:t xml:space="preserve">21:4–6</w:t>
            </w:r>
          </w:p>
        </w:tc>
        <w:tc>
          <w:tcPr/>
          <w:p>
            <w:pPr>
              <w:pStyle w:val="Compact"/>
            </w:pPr>
            <w:r>
              <w:t xml:space="preserve">Gibeonites refuse silver or blood-vengeance against Israel; request seven of Saul’s male descendants to be</w:t>
            </w:r>
            <w:r>
              <w:t xml:space="preserve"> </w:t>
            </w:r>
            <w:r>
              <w:t xml:space="preserve">“hanged before the LORD”</w:t>
            </w:r>
            <w:r>
              <w:t xml:space="preserve"> </w:t>
            </w:r>
            <w:r>
              <w:t xml:space="preserve">at Gibeah</w:t>
            </w:r>
          </w:p>
        </w:tc>
        <w:tc>
          <w:tcPr/>
          <w:p>
            <w:pPr>
              <w:pStyle w:val="Compact"/>
            </w:pPr>
            <w:r>
              <w:t xml:space="preserve">The Gibeonites’ refusal of money shows this is not a transaction;</w:t>
            </w:r>
            <w:r>
              <w:t xml:space="preserve"> </w:t>
            </w:r>
            <w:r>
              <w:t xml:space="preserve">“before the LORD”</w:t>
            </w:r>
            <w:r>
              <w:t xml:space="preserve"> </w:t>
            </w:r>
            <w:r>
              <w:t xml:space="preserve">is a cultic phrase — this is an act of public covenant vindication</w:t>
            </w:r>
          </w:p>
        </w:tc>
      </w:tr>
      <w:tr>
        <w:tc>
          <w:tcPr/>
          <w:p>
            <w:pPr>
              <w:pStyle w:val="Compact"/>
            </w:pPr>
            <w:r>
              <w:t xml:space="preserve">21:7</w:t>
            </w:r>
          </w:p>
        </w:tc>
        <w:tc>
          <w:tcPr/>
          <w:p>
            <w:pPr>
              <w:pStyle w:val="Compact"/>
            </w:pPr>
            <w:r>
              <w:t xml:space="preserve">David spares Mephibosheth for Jonathan’s sake and for the oath sworn to Jonathan</w:t>
            </w:r>
          </w:p>
        </w:tc>
        <w:tc>
          <w:tcPr/>
          <w:p>
            <w:pPr>
              <w:pStyle w:val="Compact"/>
            </w:pPr>
            <w:r>
              <w:t xml:space="preserve">Covenant loyalty overrides political calculation; David’s earlier promise (2 Sam. 9) governs even this dark moment</w:t>
            </w:r>
          </w:p>
        </w:tc>
      </w:tr>
      <w:tr>
        <w:tc>
          <w:tcPr/>
          <w:p>
            <w:pPr>
              <w:pStyle w:val="Compact"/>
            </w:pPr>
            <w:r>
              <w:t xml:space="preserve">21:8–9</w:t>
            </w:r>
          </w:p>
        </w:tc>
        <w:tc>
          <w:tcPr/>
          <w:p>
            <w:pPr>
              <w:pStyle w:val="Compact"/>
            </w:pPr>
            <w:r>
              <w:t xml:space="preserve">David hands over two sons of Rizpah and five grandsons of Merab; they are executed at the beginning of barley harvest</w:t>
            </w:r>
          </w:p>
        </w:tc>
        <w:tc>
          <w:tcPr/>
          <w:p>
            <w:pPr>
              <w:pStyle w:val="Compact"/>
            </w:pPr>
            <w:r>
              <w:t xml:space="preserve">The specificity of names honors the humanity of those who died;</w:t>
            </w:r>
            <w:r>
              <w:t xml:space="preserve"> </w:t>
            </w:r>
            <w:r>
              <w:t xml:space="preserve">“beginning of barley harvest”</w:t>
            </w:r>
            <w:r>
              <w:t xml:space="preserve"> </w:t>
            </w:r>
            <w:r>
              <w:t xml:space="preserve">— Passover season — may carry sacrificial overtones</w:t>
            </w:r>
          </w:p>
        </w:tc>
      </w:tr>
      <w:tr>
        <w:tc>
          <w:tcPr/>
          <w:p>
            <w:pPr>
              <w:pStyle w:val="Compact"/>
            </w:pPr>
            <w:r>
              <w:t xml:space="preserve">21:10</w:t>
            </w:r>
          </w:p>
        </w:tc>
        <w:tc>
          <w:tcPr/>
          <w:p>
            <w:pPr>
              <w:pStyle w:val="Compact"/>
            </w:pPr>
            <w:r>
              <w:t xml:space="preserve">Rizpah spreads sackcloth on a rock and guards the bodies from birds and beasts from harvest until rain</w:t>
            </w:r>
          </w:p>
        </w:tc>
        <w:tc>
          <w:tcPr/>
          <w:p>
            <w:pPr>
              <w:pStyle w:val="Compact"/>
            </w:pPr>
            <w:r>
              <w:t xml:space="preserve">One of the most quietly devastating images in Samuel; her vigil is a form of maternal protest, grief, and covenant honor</w:t>
            </w:r>
          </w:p>
        </w:tc>
      </w:tr>
      <w:tr>
        <w:tc>
          <w:tcPr/>
          <w:p>
            <w:pPr>
              <w:pStyle w:val="Compact"/>
            </w:pPr>
            <w:r>
              <w:t xml:space="preserve">21:11–14</w:t>
            </w:r>
          </w:p>
        </w:tc>
        <w:tc>
          <w:tcPr/>
          <w:p>
            <w:pPr>
              <w:pStyle w:val="Compact"/>
            </w:pPr>
            <w:r>
              <w:t xml:space="preserve">David is told of Rizpah’s vigil; gathers bones of Saul and Jonathan from Jabesh-gilead; buries all in Kish’s tomb at Zela; God is moved by prayer for the land</w:t>
            </w:r>
          </w:p>
        </w:tc>
        <w:tc>
          <w:tcPr/>
          <w:p>
            <w:pPr>
              <w:pStyle w:val="Compact"/>
            </w:pPr>
            <w:r>
              <w:t xml:space="preserve">Rizpah’s grief awakens David’s larger act of honor; proper burial is covenant dignity, not sentiment; the resolution comes only after burial — the sequence matters</w:t>
            </w:r>
          </w:p>
        </w:tc>
      </w:tr>
      <w:tr>
        <w:tc>
          <w:tcPr/>
          <w:p>
            <w:pPr>
              <w:pStyle w:val="Compact"/>
            </w:pPr>
            <w:r>
              <w:t xml:space="preserve">21:15–17</w:t>
            </w:r>
          </w:p>
        </w:tc>
        <w:tc>
          <w:tcPr/>
          <w:p>
            <w:pPr>
              <w:pStyle w:val="Compact"/>
            </w:pPr>
            <w:r>
              <w:t xml:space="preserve">David goes to battle against Philistines; becomes exhausted; Ishbi-benob nearly kills him; Abishai intervenes; David’s men swear he will not go out to battle again</w:t>
            </w:r>
          </w:p>
        </w:tc>
        <w:tc>
          <w:tcPr/>
          <w:p>
            <w:pPr>
              <w:pStyle w:val="Compact"/>
            </w:pPr>
            <w:r>
              <w:t xml:space="preserve">The vulnerability of the king is on full display; the men’s oath to protect David echoes the covenant theme of the chapter</w:t>
            </w:r>
          </w:p>
        </w:tc>
      </w:tr>
      <w:tr>
        <w:tc>
          <w:tcPr/>
          <w:p>
            <w:pPr>
              <w:pStyle w:val="Compact"/>
            </w:pPr>
            <w:r>
              <w:t xml:space="preserve">21:18–22</w:t>
            </w:r>
          </w:p>
        </w:tc>
        <w:tc>
          <w:tcPr/>
          <w:p>
            <w:pPr>
              <w:pStyle w:val="Compact"/>
            </w:pPr>
            <w:r>
              <w:t xml:space="preserve">Three additional Philistine giant-killings by David’s warriors: Sibbecai, Elhanan, and Jonathan son of Shimei</w:t>
            </w:r>
          </w:p>
        </w:tc>
        <w:tc>
          <w:tcPr/>
          <w:p>
            <w:pPr>
              <w:pStyle w:val="Compact"/>
            </w:pPr>
            <w:r>
              <w:t xml:space="preserve">The focus has shifted from David to his men; the era of the warrior-king is giving way; the</w:t>
            </w:r>
            <w:r>
              <w:t xml:space="preserve"> </w:t>
            </w:r>
            <w:r>
              <w:t xml:space="preserve">“four born to the giant in Gath”</w:t>
            </w:r>
            <w:r>
              <w:t xml:space="preserve"> </w:t>
            </w:r>
            <w:r>
              <w:t xml:space="preserve">recalls Goliath’s lineage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21:1–6</w:t>
            </w:r>
          </w:p>
        </w:tc>
        <w:tc>
          <w:tcPr/>
          <w:p>
            <w:pPr>
              <w:pStyle w:val="Compact"/>
            </w:pPr>
            <w:r>
              <w:t xml:space="preserve">The Diagnosis: Inherited Bloodguilt and the Price of Covenant Violation</w:t>
            </w:r>
          </w:p>
        </w:tc>
      </w:tr>
      <w:tr>
        <w:tc>
          <w:tcPr/>
          <w:p>
            <w:pPr>
              <w:pStyle w:val="Compact"/>
            </w:pPr>
            <w:r>
              <w:t xml:space="preserve">2</w:t>
            </w:r>
          </w:p>
        </w:tc>
        <w:tc>
          <w:tcPr/>
          <w:p>
            <w:pPr>
              <w:pStyle w:val="Compact"/>
            </w:pPr>
            <w:r>
              <w:t xml:space="preserve">21:7–9</w:t>
            </w:r>
          </w:p>
        </w:tc>
        <w:tc>
          <w:tcPr/>
          <w:p>
            <w:pPr>
              <w:pStyle w:val="Compact"/>
            </w:pPr>
            <w:r>
              <w:t xml:space="preserve">The Navigation: Covenant Loyalty Held Even Within a Dark Resolution</w:t>
            </w:r>
          </w:p>
        </w:tc>
      </w:tr>
      <w:tr>
        <w:tc>
          <w:tcPr/>
          <w:p>
            <w:pPr>
              <w:pStyle w:val="Compact"/>
            </w:pPr>
            <w:r>
              <w:t xml:space="preserve">3</w:t>
            </w:r>
          </w:p>
        </w:tc>
        <w:tc>
          <w:tcPr/>
          <w:p>
            <w:pPr>
              <w:pStyle w:val="Compact"/>
            </w:pPr>
            <w:r>
              <w:t xml:space="preserve">21:10–14</w:t>
            </w:r>
          </w:p>
        </w:tc>
        <w:tc>
          <w:tcPr/>
          <w:p>
            <w:pPr>
              <w:pStyle w:val="Compact"/>
            </w:pPr>
            <w:r>
              <w:t xml:space="preserve">The Grief That Moves the King: Rizpah’s Vigil and the Honor of the Dead</w:t>
            </w:r>
          </w:p>
        </w:tc>
      </w:tr>
      <w:tr>
        <w:tc>
          <w:tcPr/>
          <w:p>
            <w:pPr>
              <w:pStyle w:val="Compact"/>
            </w:pPr>
            <w:r>
              <w:t xml:space="preserve">4</w:t>
            </w:r>
          </w:p>
        </w:tc>
        <w:tc>
          <w:tcPr/>
          <w:p>
            <w:pPr>
              <w:pStyle w:val="Compact"/>
            </w:pPr>
            <w:r>
              <w:t xml:space="preserve">21:15–17</w:t>
            </w:r>
          </w:p>
        </w:tc>
        <w:tc>
          <w:tcPr/>
          <w:p>
            <w:pPr>
              <w:pStyle w:val="Compact"/>
            </w:pPr>
            <w:r>
              <w:t xml:space="preserve">The Fading Warrior: David’s Vulnerability and His Men’s Protective Oath</w:t>
            </w:r>
          </w:p>
        </w:tc>
      </w:tr>
      <w:tr>
        <w:tc>
          <w:tcPr/>
          <w:p>
            <w:pPr>
              <w:pStyle w:val="Compact"/>
            </w:pPr>
            <w:r>
              <w:t xml:space="preserve">5</w:t>
            </w:r>
          </w:p>
        </w:tc>
        <w:tc>
          <w:tcPr/>
          <w:p>
            <w:pPr>
              <w:pStyle w:val="Compact"/>
            </w:pPr>
            <w:r>
              <w:t xml:space="preserve">21:18–22</w:t>
            </w:r>
          </w:p>
        </w:tc>
        <w:tc>
          <w:tcPr/>
          <w:p>
            <w:pPr>
              <w:pStyle w:val="Compact"/>
            </w:pPr>
            <w:r>
              <w:t xml:space="preserve">The Transfer: David’s Warriors Carry the Battle He Can No Longer Fight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Covenant bloodguilt demands atonement before the land can rest.</w:t>
      </w:r>
    </w:p>
    <w:p>
      <w:pPr>
        <w:pStyle w:val="BodyText"/>
      </w:pPr>
      <w:r>
        <w:rPr>
          <w:b/>
          <w:bCs/>
        </w:rPr>
        <w:t xml:space="preserve">Primary Claim:</w:t>
      </w:r>
      <w:r>
        <w:t xml:space="preserve"> </w:t>
      </w:r>
      <w:r>
        <w:t xml:space="preserve">God will not ignore violated covenant oaths — not even those made by a previous generation — and He calls His people to reckon honestly with inherited guilt, make restitution where possible, and entrust the outcome to Him; the land cannot flourish under unaddressed bloodshed.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Inherited obligations are real obligations.</w:t>
      </w:r>
      <w:r>
        <w:t xml:space="preserve"> </w:t>
      </w:r>
      <w:r>
        <w:rPr>
          <w:i/>
          <w:iCs/>
        </w:rPr>
        <w:t xml:space="preserve">(Mind/belief)</w:t>
      </w:r>
      <w:r>
        <w:t xml:space="preserve"> </w:t>
      </w:r>
      <w:r>
        <w:t xml:space="preserve">David did not massacre the Gibeonites — Saul did. But David governed the people in whose name the oath was broken, and God held the nation accountable. The modern instinct to quarantine guilt to its original actor alone is not the Bible’s moral architecture. Communities, families, and institutions carry the weight of what prior generations have done in their name. This does not mean guilt transfers metaphysically, but it does mean faithful stewardship requires asking: what obligations have been incurred on my behalf, in my community’s name, that have not been honored? The question is not comfortable, but it is the question David had to ask — and the land was silent until he did.</w:t>
      </w:r>
    </w:p>
    <w:p>
      <w:pPr>
        <w:pStyle w:val="BodyText"/>
      </w:pPr>
      <w:r>
        <w:rPr>
          <w:b/>
          <w:bCs/>
        </w:rPr>
        <w:t xml:space="preserve">2. God is not indifferent to covenant-breaking — especially when cloaked in religious zeal.</w:t>
      </w:r>
      <w:r>
        <w:t xml:space="preserve"> </w:t>
      </w:r>
      <w:r>
        <w:rPr>
          <w:i/>
          <w:iCs/>
        </w:rPr>
        <w:t xml:space="preserve">(Mind/belief)</w:t>
      </w:r>
      <w:r>
        <w:t xml:space="preserve"> </w:t>
      </w:r>
      <w:r>
        <w:t xml:space="preserve">Saul broke the Gibeonite oath</w:t>
      </w:r>
      <w:r>
        <w:t xml:space="preserve"> </w:t>
      </w:r>
      <w:r>
        <w:t xml:space="preserve">“in his zeal for Israel and Judah”</w:t>
      </w:r>
      <w:r>
        <w:t xml:space="preserve"> </w:t>
      </w:r>
      <w:r>
        <w:t xml:space="preserve">(v. 2). His covenant violation was not casual irreligion — it was committed in the name of devotion. This is one of the most dangerous forms of sin: the treaty broken for theological-sounding reasons, the promise rescinded in the name of a higher cause. God was not impressed. The famine was His answer. Examine where your commitments — to people, to God, to community — have been quietly broken in the name of a more convenient priority, and do not mistake the silence of others for the silence of God.</w:t>
      </w:r>
    </w:p>
    <w:p>
      <w:pPr>
        <w:pStyle w:val="BodyText"/>
      </w:pPr>
      <w:r>
        <w:rPr>
          <w:b/>
          <w:bCs/>
        </w:rPr>
        <w:t xml:space="preserve">3. Let the grief of the marginalized awaken your conscience.</w:t>
      </w:r>
      <w:r>
        <w:t xml:space="preserve"> </w:t>
      </w:r>
      <w:r>
        <w:rPr>
          <w:i/>
          <w:iCs/>
        </w:rPr>
        <w:t xml:space="preserve">(Affections/worship)</w:t>
      </w:r>
      <w:r>
        <w:t xml:space="preserve"> </w:t>
      </w:r>
      <w:r>
        <w:t xml:space="preserve">Rizpah had no legal standing. She was a concubine, the possession of a dead king, with no army, no court access, and no leverage. But her grief was louder than her silence, and it moved the king to do what he had not done. God works this way. The grief of those without power and platform is not background noise — it is sometimes the most morally urgent voice in the room. Cultivate the kind of attentiveness to quiet grief that David eventually showed: let it break through your political calculus, your administrative logic, and your self-protective distance, until it moves you to act with covenant dignity toward those who cannot demand it.</w:t>
      </w:r>
    </w:p>
    <w:p>
      <w:pPr>
        <w:pStyle w:val="BodyText"/>
      </w:pPr>
      <w:r>
        <w:rPr>
          <w:b/>
          <w:bCs/>
        </w:rPr>
        <w:t xml:space="preserve">4. Honor your prior commitments even when the situation makes it costly or complicated.</w:t>
      </w:r>
      <w:r>
        <w:t xml:space="preserve"> </w:t>
      </w:r>
      <w:r>
        <w:rPr>
          <w:i/>
          <w:iCs/>
        </w:rPr>
        <w:t xml:space="preserve">(Will/behavior)</w:t>
      </w:r>
      <w:r>
        <w:t xml:space="preserve"> </w:t>
      </w:r>
      <w:r>
        <w:t xml:space="preserve">In the middle of a dark negotiation over the deaths of Saul’s descendants, David remembers Mephibosheth (v. 7) and protects him from the reckoning. He does not sweep the old oath to Jonathan under the cover of a larger crisis. Identify one promise or commitment you have made — to a person, to God, to a community — that the pressures of your current season have quietly pushed aside. Name it. Do the concrete work of honoring it this week, not because circumstances are favorable, but because you are a covenant person under a covenant God.</w:t>
      </w:r>
    </w:p>
    <w:p>
      <w:pPr>
        <w:pStyle w:val="BodyText"/>
      </w:pPr>
      <w:r>
        <w:rPr>
          <w:b/>
          <w:bCs/>
        </w:rPr>
        <w:t xml:space="preserve">5. Receive the diminishment of your own capacity as God’s reordering, not His rejection.</w:t>
      </w:r>
      <w:r>
        <w:t xml:space="preserve"> </w:t>
      </w:r>
      <w:r>
        <w:rPr>
          <w:i/>
          <w:iCs/>
        </w:rPr>
        <w:t xml:space="preserve">(Affections/worship)</w:t>
      </w:r>
      <w:r>
        <w:t xml:space="preserve"> </w:t>
      </w:r>
      <w:r>
        <w:t xml:space="preserve">David nearly dies in battle (v. 17) and his men forbid him from going out again. This is not presented as tragedy — it is presented as faithfulness by those who love him. The era of David the warrior is closing. God does not call His people to sustain their capacities indefinitely; He calls them to be faithful within the season He assigns. If you are in a season of diminishment — physically, vocationally, in influence or strength — resist the idolatry of your former productivity. David’s glory did not depend on his battlefield usefulness. Neither does yours. What matters is whether the warriors who follow you are equipped to fight.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God’s governance of His people operates at a communal and covenantal level that exceeds individual moral accountability. The famine is not a weather event — it is divine judgment for corporate covenant-breaking, and it persists until atonement is made. This reflects a consistent Old Testament theology: the land itself is a covenant space, responsive to the faithfulness or faithlessness of the people who inhabit it (cf. Leviticus 26; Numbers 35). God’s attention to the Gibeonite covenant also demonstrates that He holds His people to oaths sworn in His name even when those oaths are inconvenient, politically costly, or generationally distant. His character as covenant-keeper demands that those who invoke His name as witness also be covenant-keepers. The chapter further teaches that proper burial and honor for the dead is not sentiment — it is covenantal dignity, and its neglect can be a form of ongoing injustice before God.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Reformed tradition’s insistence on federal headship and covenantal solidarity — most fully developed in Romans 5 and covenant theology broadly — finds a dark but genuine anticipation in this chapter. Saul acted as head of Israel; his violation of the Gibeonite covenant bound the nation in ways that outlasted his reign. This is not primitive tribal thinking but covenantal logic: representative action has representative consequences. The resolution through blood — the deaths of Saul’s sons — functions as a type pointing toward the one who would answer all covenantal guilt representatively: Christ, who did not violate any oath but bore the consequences of all who had. Hebrews 9:22 is not abstract theology here — it is the resolution that the Gibeonite episode cries out for and cannot itself supply. Reformed exposition of this chapter should be careful not to flatten it into a morality tale about keeping promises. The deeper movement is from bloodguilt to atonement, from defilement to cleansing, from a land under judgment to a land where God answers prayer — a movement that finds its permanent ground only in the cross.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will not look away from broken covenant oaths, and no amount of spiritual productivity — not even Saul’s</w:t>
      </w:r>
      <w:r>
        <w:t xml:space="preserve"> </w:t>
      </w:r>
      <w:r>
        <w:t xml:space="preserve">“zeal for Israel”</w:t>
      </w:r>
      <w:r>
        <w:t xml:space="preserve"> </w:t>
      </w:r>
      <w:r>
        <w:t xml:space="preserve">— covers the debt of a promise made in His name and then abandoned. This chapter does not let us choose between keeping our commitments and pursuing our larger purposes; it insists they are the same thing. And it plants in the middle of its darkness one image of faithfulness no one will reward: a woman with no power, on a rock, in the rain, refusing to let the forgotten be forgotten. Be that person. And then look to the one whose blood finally answers what all our gestures of restitution can only point toward.</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Moralizing the Gibeonite episode as simply</w:t>
      </w:r>
      <w:r>
        <w:rPr>
          <w:b/>
          <w:bCs/>
        </w:rPr>
        <w:t xml:space="preserve"> </w:t>
      </w:r>
      <w:r>
        <w:rPr>
          <w:b/>
          <w:bCs/>
        </w:rPr>
        <w:t xml:space="preserve">“keep your promises.”</w:t>
      </w:r>
      <w:r>
        <w:t xml:space="preserve"> </w:t>
      </w:r>
      <w:r>
        <w:t xml:space="preserve">The passage is about more than promise-keeping as a virtue. It is about covenant bloodguilt, atonement, and the defilement of the land — categories that have a theological density the</w:t>
      </w:r>
      <w:r>
        <w:t xml:space="preserve"> </w:t>
      </w:r>
      <w:r>
        <w:t xml:space="preserve">“keep your word”</w:t>
      </w:r>
      <w:r>
        <w:t xml:space="preserve"> </w:t>
      </w:r>
      <w:r>
        <w:t xml:space="preserve">sermon misses entirely. Reducing it to a lesson in reliability loses the covenantal gravity and the typological depth. Preach the mechanism, not just the moral.</w:t>
      </w:r>
    </w:p>
    <w:p>
      <w:pPr>
        <w:numPr>
          <w:ilvl w:val="0"/>
          <w:numId w:val="1002"/>
        </w:numPr>
      </w:pPr>
      <w:r>
        <w:rPr>
          <w:b/>
          <w:bCs/>
        </w:rPr>
        <w:t xml:space="preserve">Avoiding the executions or softening them apologetically.</w:t>
      </w:r>
      <w:r>
        <w:t xml:space="preserve"> </w:t>
      </w:r>
      <w:r>
        <w:t xml:space="preserve">Some expositors skip verses 6–9 or spend most of their time apologizing for them. The text presents the deaths of Saul’s descendants not as a scandal to be explained away but as a covenantal resolution God ratified. Acknowledge the difficulty honestly, engage it theologically (atonement, corporate solidarity, typological anticipation), and resist the urge to harmonize it prematurely with a flattened New Testament ethic. The canonical tension is load-bearing, not accidental.</w:t>
      </w:r>
    </w:p>
    <w:p>
      <w:pPr>
        <w:numPr>
          <w:ilvl w:val="0"/>
          <w:numId w:val="1002"/>
        </w:numPr>
      </w:pPr>
      <w:r>
        <w:rPr>
          <w:b/>
          <w:bCs/>
        </w:rPr>
        <w:t xml:space="preserve">Missing Rizpah.</w:t>
      </w:r>
      <w:r>
        <w:t xml:space="preserve"> </w:t>
      </w:r>
      <w:r>
        <w:t xml:space="preserve">Verses 10–14 are the emotional and moral center of the chapter, and they are routinely underweighted or omitted in favor of the more theologically tractable verses 1–9. Rizpah’s vigil is not a sentimental insert — it is the conscience of the chapter, the moment where grief becomes prophetic and where the marginalized voice moves the powerful. A sermon on 2 Samuel 21 that does not linger here has missed its most humanly resonant moment.</w:t>
      </w:r>
    </w:p>
    <w:p>
      <w:pPr>
        <w:numPr>
          <w:ilvl w:val="0"/>
          <w:numId w:val="1002"/>
        </w:numPr>
      </w:pPr>
      <w:r>
        <w:rPr>
          <w:b/>
          <w:bCs/>
        </w:rPr>
        <w:t xml:space="preserve">Treating the warrior appendix (vv. 15–22) as filler.</w:t>
      </w:r>
      <w:r>
        <w:t xml:space="preserve"> </w:t>
      </w:r>
      <w:r>
        <w:t xml:space="preserve">The four Philistine battles are not a random addendum. They frame the theological transition of the entire second half of 2 Samuel: David the warrior is fading, his men are carrying the battle, and the concentration of</w:t>
      </w:r>
      <w:r>
        <w:t xml:space="preserve"> </w:t>
      </w:r>
      <w:r>
        <w:t xml:space="preserve">“great men”</w:t>
      </w:r>
      <w:r>
        <w:t xml:space="preserve"> </w:t>
      </w:r>
      <w:r>
        <w:t xml:space="preserve">around him is about to give way to the catastrophic consequences of his own household disorder (chapters 13–20 precede this in the text’s canonical arrangement). The appendix is a quiet eulogy for an era. Preach it as such.</w:t>
      </w:r>
    </w:p>
    <w:p>
      <w:pPr>
        <w:numPr>
          <w:ilvl w:val="0"/>
          <w:numId w:val="1002"/>
        </w:numPr>
      </w:pPr>
      <w:r>
        <w:rPr>
          <w:b/>
          <w:bCs/>
        </w:rPr>
        <w:t xml:space="preserve">Failing to connect to Christ.</w:t>
      </w:r>
      <w:r>
        <w:t xml:space="preserve"> </w:t>
      </w:r>
      <w:r>
        <w:t xml:space="preserve">The mechanism of this chapter — blood required, blood shed, land restored, prayer answered — is precisely the logic of Hebrews 9 and Romans 5. A sermon that leaves the congregation at the Gibeonite hill without pointing to Golgotha has done accurate historical exposition but incomplete gospel exposition. The atonement enacted here is real, but it is not final. Name the One it points toward.</w:t>
      </w:r>
    </w:p>
    <w:p>
      <w:pPr>
        <w:numPr>
          <w:ilvl w:val="0"/>
          <w:numId w:val="1002"/>
        </w:numPr>
      </w:pPr>
      <w:r>
        <w:rPr>
          <w:b/>
          <w:bCs/>
        </w:rPr>
        <w:t xml:space="preserve">Importing a Western individualism that quarantines guilt.</w:t>
      </w:r>
      <w:r>
        <w:t xml:space="preserve"> </w:t>
      </w:r>
      <w:r>
        <w:t xml:space="preserve">Modern Western hearers instinctively resist corporate guilt and inherited obligation. The preacher must not cave to this instinct. Gently but clearly demonstrate from the passage that Scripture’s moral architecture includes communal and generational dimensions that do not dissolve into individual autonomy. This is not a call to collective guilt in a psychological sense — it is a call to covenant faithfulness that takes seriously the communities and commitments we inhabit and represent.</w:t>
      </w:r>
    </w:p>
    <w:p>
      <w:r>
        <w:pict>
          <v:rect style="width:0;height:1.5pt" o:hralign="center" o:hrstd="t" o:hr="t"/>
        </w:pict>
      </w:r>
    </w:p>
    <w:p>
      <w:pPr>
        <w:pStyle w:val="FirstParagraph"/>
      </w:pPr>
      <w:r>
        <w:rPr>
          <w:i/>
          <w:iCs/>
        </w:rPr>
        <w:t xml:space="preserve">Document generated per CLAUDE2.md framework. File: 10 2 Samuel 21.docx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2026-07-14T21:02:52Z</dcterms:created>
  <dcterms:modified xsi:type="dcterms:W3CDTF">2026-07-14T21:02:52Z</dcterms:modified>
</cp:coreProperties>
</file>

<file path=docProps/custom.xml><?xml version="1.0" encoding="utf-8"?>
<Properties xmlns="http://schemas.openxmlformats.org/officeDocument/2006/custom-properties" xmlns:vt="http://schemas.openxmlformats.org/officeDocument/2006/docPropsVTypes"/>
</file>